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2012/17 vom 19. März 2009</w:t>
      </w:r>
    </w:p>
    <w:p>
      <w:r>
        <w:t>Sg Versicherungsgericht, 2009-03-19, DE</w:t>
      </w:r>
    </w:p>
    <w:p>
      <w:r>
        <w:rPr>
          <w:b/>
        </w:rPr>
        <w:t xml:space="preserve">Quelle: </w:t>
      </w:r>
      <w:r>
        <w:t>https://mcp.opencaselaw.ch/entscheid/sg_publikationen_EL 2012_17</w:t>
      </w:r>
    </w:p>
    <w:p>
      <w:r>
        <w:t>FR: SG_VERSICHERUNGSGERICHT EL 2012/17 du 19 mars 2009</w:t>
      </w:r>
    </w:p>
    <w:p>
      <w:r>
        <w:t>IT: SG_VERSICHERUNGSGERICHT EL 2012/17 del 19 marzo 2009</w:t>
      </w:r>
    </w:p>
    <w:p>
      <w:pPr>
        <w:pStyle w:val="Heading2"/>
      </w:pPr>
      <w:r>
        <w:t>Regeste</w:t>
      </w:r>
    </w:p>
    <w:p>
      <w:r>
        <w:t>Art. 25 Abs. 1 ATSG. Art. 24 ELV. Erlass. Meldepflicht. Es ist nicht Sache der Versicherten, abzuschätzen, ob und inwiefern eine Veränderung der tatsächlichen Verhältnisse Einfluss auf einen Leistungsanspruch haben könnte. Sie sind verpflichtet, jede Veränderungen unaufgefordert zu melden. Die Verwaltung prüft, ob und inwiefern sich die Veränderungen auf den Leistungsanspruch auswirken (Entscheid des Versicherungsgerichts des Kantons St. Gallen vom 23. Oktober 2012, EL 2012/17).Vizepräsidentin Miriam Lendfers, Versicherungsrichterinnen Monika Gehrer-Hug und Lisbeth Mattle Frei; Gerichtsschreiber Tobias BoltEntscheid vom 23. Oktober 2012in SachenA.___, Beschwerdeführerin,vertreten durch Rechtsanwalt lic. iur. Markus Stadelmann, Amriswilerstrasse 50, 8570 Weinfelden,gegenSozialversicherungsanstalt des Kantons St. Gallen, Ausgleichskasse des Kantons St. Gallen, Brauerstrasse 54, Postfach, 9016 St. Gallen,Beschwerdegegnerin,betreffendErgänzungsleistung zur IV (Erlass Rückforderung)Sachverhalt:</w:t>
      </w:r>
    </w:p>
    <w:p>
      <w:pPr>
        <w:pStyle w:val="Heading2"/>
      </w:pPr>
      <w:r>
        <w:t>Erwägungen</w:t>
      </w:r>
    </w:p>
    <w:p>
      <w:r>
        <w:rPr>
          <w:b/>
        </w:rPr>
        <w:t>E. 1</w:t>
      </w:r>
    </w:p>
    <w:p>
      <w:r>
        <w:t>Streitig und zu prüfen ist, ob die Rückforderung gemäss Verfügung vom 8. Februar 2011 zu erlassen ist. Grund und Betrag bzw. die Rechtmässigkeit der Rückforderung sind im vorliegenden Verfahren dagegen nicht zu prüfen, nachdem die Beschwerdeführerin gegen die korrigierte Rückforderungsverfügung vom 8. Februar 2011 keine Einsprache erhoben hat (vgl. EL-act. 39–2 und 45). Für die Beantwortung der Frage, ob der gemäss Art. 25 Abs. 1 des Bundesgesetzes über den Allgemeinen Teil des Sozialversicherungs­rechts (ATSG; SR 830.1) für einen Erlass neben der grossen Härte vorausgesetzte gute Glauben bezüglich Leistungsempfangs zu bejahen ist, ist allerdings unter anderem auch zu berücksichtigen, was der Grund für die Rückforderung ist.</w:t>
      </w:r>
    </w:p>
    <w:p>
      <w:r>
        <w:rPr>
          <w:b/>
        </w:rPr>
        <w:t>E. 2.1</w:t>
      </w:r>
    </w:p>
    <w:p>
      <w:r>
        <w:t>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Auflage, Zürich 2009, Art. 25 N 19).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w:t>
      </w:r>
    </w:p>
    <w:p>
      <w:r>
        <w:rPr>
          <w:b/>
        </w:rPr>
        <w:t>E. 2.2</w:t>
      </w:r>
    </w:p>
    <w:p>
      <w:r>
        <w:t>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Bei dieser Pflicht handelt es sich um einen An­wendungsfall von Art. 3 Abs. 2 ZGB i.V.m. Art. 64 OR: Wer beim Empfang der Zahlung um deren Grundlosigkeit weiss bzw. hätte wissen müssen, unterliegt einer unein­geschränkten Rückerstattungspflicht, weil die Gutglaubensvermutung zerstört ist (vgl. dazu Entscheid des Versicherungsgerichts des Kantons St. Gallen vom 12. Februar 2004 i/S M. K.-J., EL 2003/26). Als Beispiel eines ohne weiteres zu erkennenden Fehlers, dessen Nichtmeldung einen gutgläubigen Leistungsbezug ausschliesst, ist etwa die Anrechnung von zu hohen Krankenkassenprämien zu nennen (EVGE i/S B. vom 3. März 1993 [P42/92]).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w:t>
      </w:r>
    </w:p>
    <w:p>
      <w:r>
        <w:rPr>
          <w:b/>
        </w:rPr>
        <w:t>E. 3.1</w:t>
      </w:r>
    </w:p>
    <w:p>
      <w:r>
        <w:t>Die Rückforderung, deren Erlass zu prüfen ist, hat zwei wesentliche Gründe: Einer­seits traf die Beschwerdeführerin offenbar mit ihrem Vermieter im Verlaufe des Jahres 2006 eine Abmachung, wonach der Mietzins um monatlich Fr. 70.-- reduziert würde, wenn die Versicherte dafür die Reinigung des Treppenhauses übernehmen würde. Dies wurde der Beschwerdegegnerin allerdings erst im Juni 2009 mitgeteilt. Andererseits wurde der zuvor erwerbstätige Ehemann der Beschwerdeführerin arbeitslos, weshalb er zeitweise eine Arbeitslosenentschädigung bezog. Deren Betrag war zwar tiefer als der zuvor erzielte Lohn, doch wäre sie im Gegensatz zum Erwerbseinkommen – das nur zu zwei Dritteln und nur im Fr. 1’500.-- übersteigenden Betrag angerechnet wird; vgl. Art. 11 Abs. 1 lit. a des Bundesgesetzes über Ergänzungsleistungen zur Alters-, Hinter­lassenen- und Invalidenversicherung (ELG; SR 831.30) – nicht privilegiert, sondern voll­umfänglich als Einnahme anzurechnen gewesen (vgl. Art. 11 Abs. 1 lit. d ELG), was zu einem tieferen EL-Anspruch geführt hätte. Obwohl der Ehemann der Beschwerde­führerin bereits im Jahr 2007 Arbeitslosenentschädigung bezogen hatte, meldete sie auch dies erst im Juni 2009.</w:t>
      </w:r>
    </w:p>
    <w:p>
      <w:r>
        <w:rPr>
          <w:b/>
        </w:rPr>
        <w:t>E. 3.2</w:t>
      </w:r>
    </w:p>
    <w:p>
      <w:r>
        <w:t>Was die Mietzinsreduktion betrifft, so hätte der Beschwerdeführerin bewusst sein müssen, dass sich diese auf den EL-Anspruch auswirkt. So musste sie im Rahmen der Anmeldung zum Bezug von Ergänzungsleistungen angeben und belegen, wie hoch die Mietzinsen sind. Auf den Berechnungsblättern zu den Verfügungen betreffend jährliche Ergänzungsleistungen wurde der Mietzins sodann klar als anerkannte Ausgabe aus­gewiesen, und es musste für die Beschwerdeführerin nachvollziehbar sein, dass sich die Höhe des Mietzinses auf die Höhe der gesamten anerkannten Ausgaben und damit direkt auf den EL-Anspruch auswirkte. Auch wenn die Beschwerdeführerin davon ausgegangen wäre, die Mietzinsreduktion stelle nicht eine Verminderung der ent­sprechenden Ausgaben, sondern – was zutreffender wäre und von der Beschwerde­gegnerin auf Intervention des Rechtsvertreters der Beschwerdeführerin hin so berück­sichtigt wurde – Erwerbseinkommen dar, hätte sie mit Blick auf die Berechnungsblätter davon ausgehen müssen, dadurch würde die Höhe des EL-Anspruchs unmittelbar be­einflusst. Dass eine entsprechende Meldung an die EL-Durchführungsstelle unterblieb und erst rund drei Jahre später im Rahmen einer Überprüfung des Leistungsanspruchs darauf hingewiesen wurde, ist vor diesem Hintergrund als Verletzung der Sorgfalts- bzw. Mitwirkungspflichtpflicht zu qualifizieren. Gründe, das Vorliegen guten Glaubens diesbe­züglich dennoch zu bejahen, sind nicht ersichtlich, weshalb insofern ein Erlass der Rückforderung nicht zulässig ist.</w:t>
      </w:r>
    </w:p>
    <w:p>
      <w:r>
        <w:rPr>
          <w:b/>
        </w:rPr>
        <w:t>E. 3.3</w:t>
      </w:r>
    </w:p>
    <w:p>
      <w:r>
        <w:t>Was die Arbeitslosenentschädigung betrifft, so ist das Argument der Beschwerde­führerin, diese sei tiefer als der weggefallene Lohn, weshalb sie nicht davon habe aus­gehen können, die Berücksichtigung derselben führe zu einer Verringerung des EL-Anspruchs, nachvollziehbar. Tatsächlich ist vor allem für den Laien wohl nur schwer verständlich, dass die Anrechnung eines tieferen Ersatzeinkommens unter Umständen zu einer Verringerung des EL-Anspruchs und nicht etwa zu einer Erhöhung desselben führt. Allerdings ist dieses Argument nicht entscheidend. Es ist nicht Sache der Ver­sicherten, abzuschätzen, welche Veränderungen allenfalls eine Herabsetzung der jähr­lichen Ergänzungsleistung zur Folge haben könnten; dies zu beurteilen ist Aufgabe der Verwaltung. Die Versicherten sind einzig verpflichtet, jede Änderung, die sich in irgend­einer Weise auf den EL-Anspruch auswirken könnte, unaufgefordert zu melden. Ent­sprechend werden die Versicherten auch in jeder Verfügung betreffend EL-Anspruch aufgefordert, jede Veränderung der massgebenden Verhältnisse zu melden – unab­hängig davon, in welcher Weise sich diese auf den EL-Anspruch auswirken könnte. Diese Pflicht hat die Beschwerdeführerin verletzt, und zwar, obwohl ihr bewusst sein musste, dass sich der Wegfall des Lohnes und die Ausrichtung von Arbeitslosen­entschädigung auf den EL-Anspruch auswirken könnten – ob nun erhöhend oder ver­ringernd, ist, wie erwähnt, unerheblich. Auch diesbezüglich sind keine Gründe er­sichtlich, den guten Glauben trotz Verletzung der Meldepflicht zu bejahen.</w:t>
      </w:r>
    </w:p>
    <w:p>
      <w:r>
        <w:rPr>
          <w:b/>
        </w:rPr>
        <w:t>E. 3.4</w:t>
      </w:r>
    </w:p>
    <w:p>
      <w:r>
        <w:t>Bezüglich beiden Punkten (Mietzinsreduktion und Arbeitslosenentschädigung) ist anhand der Akten davon auszugehen, dass die Beschwerdeführerin zwar auf ent­sprechende Anfrage hin bereitwillig Auskunft erteilte. Zur Erfüllung der Meldepflicht genügt dies aber nicht, denn der Umstand, dass der EL-Anspruch direkt von den je­weiligen tatsächlichen Ausgaben und Einnahmen abhängt und sich daher grundsätzlich jede Änderung der Ausgaben oder Einnahmen auf den Anspruch auswirken kann, es der Verwaltung aber nicht möglich ist, allfällige Änderungen zeitnah zu verfolgen, be­dingt, dass sich die Versicherten bei jeder Änderungen unaufgefordert und rasch bei der Verwaltung melden. Ein solch aktives Verhalten liess die Beschwerdeführerin ver­missen; hätte sie sich entsprechend verhalten, wäre der EL-Anspruch jeweils direkt an­gepasst worden. Ein Erlass der Rückforderung kommt auch aus diesem Grund nicht in Betracht.</w:t>
      </w:r>
    </w:p>
    <w:p>
      <w:r>
        <w:rPr>
          <w:b/>
        </w:rPr>
        <w:t>E. 4</w:t>
      </w:r>
    </w:p>
    <w:p>
      <w:r>
        <w:t>Was den Eventualantrag der Beschwerdeführerin, die Rückforderung sei zufolge Uneinbringlichkeit abzuschreiben betrifft, so fehlt es an einem entsprechenden An­fechtungsgegenstand, da die angefochtene Verfügung bezüglich dieser Frage keinen Entscheid enthält (und ohnehin fraglich ist, ob darüber überhaupt verfügt werden könnte). Darauf ist deshalb im Rahmen dieses Entscheids nicht weiter einzugehen.</w:t>
      </w:r>
    </w:p>
    <w:p>
      <w:r>
        <w:rPr>
          <w:b/>
        </w:rPr>
        <w:t>E. 5</w:t>
      </w:r>
    </w:p>
    <w:p>
      <w:r>
        <w:t>Demnach ist der angefochtene Einspracheentscheid zu bestätigen und die Beschwerde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